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shd w:val="clear"/>
        <w:tblLayout w:type="autofit"/>
        <w:tblCellMar>
          <w:top w:w="0" w:type="dxa"/>
          <w:left w:w="0" w:type="dxa"/>
          <w:bottom w:w="0" w:type="dxa"/>
          <w:right w:w="0" w:type="dxa"/>
        </w:tblCellMar>
      </w:tblPr>
      <w:tblGrid>
        <w:gridCol w:w="442"/>
        <w:gridCol w:w="1486"/>
        <w:gridCol w:w="1130"/>
        <w:gridCol w:w="1130"/>
        <w:gridCol w:w="6410"/>
      </w:tblGrid>
      <w:tr>
        <w:tblPrEx>
          <w:shd w:val="clear"/>
          <w:tblCellMar>
            <w:top w:w="0" w:type="dxa"/>
            <w:left w:w="0" w:type="dxa"/>
            <w:bottom w:w="0" w:type="dxa"/>
            <w:right w:w="0" w:type="dxa"/>
          </w:tblCellMar>
        </w:tblPrEx>
        <w:trPr>
          <w:trHeight w:val="80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2020年11月法律法规更新清单</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NO.</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名称</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颁布日期</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实施日期</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来源</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【2020】第23号中国国家标准公告</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2020.11.09</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http://std.sacinfo.org.cn/gnoc/queryInfo?id=85C0D58D4D47CBD1E10A3B600598C382</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2020年第25号中国国家标准公告</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2020.11.17</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2020.11.17</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http://std.sacinfo.org.cn/gnoc/queryInfo?id=EF5E140CFAED8F0C733A2967CA877EB3</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2020年第26号中国国家标准公告</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http://std.sacinfo.org.cn/gnoc/queryInfo?id=A3AAE367213CB7CBF4812C565A033D5B</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【2020】24号中国国家标准公告</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2020.11.09</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http://std.sacinfo.org.cn/gnoc/queryInfo?id=1EA3A2D051D78019343AB70D50AC58D6</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废弃资源分类与代码（GB/T 27610-2020）（正在收录）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https://www.ehs.cn/law/114140.html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检测实验室安全 第6部分：电离辐射因素（GB/T 27476.6-2020）（正在收录）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https://www.ehs.cn/law/114139.html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铸造机械 术语（GB/T 25370-2020）（正在收录）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https://www.ehs.cn/law/114138.html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8</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能源管理体系 要求及使用指南（GB/T 23331-2020）（正在收录）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https://www.ehs.cn/law/114137.html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9</w:t>
            </w:r>
          </w:p>
        </w:tc>
        <w:tc>
          <w:tcPr>
            <w:tcW w:w="1379" w:type="pct"/>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压力管道规范 工业管道 第6部分：安全防护（GB/T 20801.6-2020）（正在收录）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https://www.ehs.cn/law/114136.html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10</w:t>
            </w:r>
          </w:p>
        </w:tc>
        <w:tc>
          <w:tcPr>
            <w:tcW w:w="1379" w:type="pct"/>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压力管道规范 工业管道 第5部分:检验与试验（GB/T 20801.5-2020）（正在收录）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https://www.ehs.cn/law/114135.html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11</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压力管道规范 工业管道 第4部分：制作与安装（GB/T 20801.4-2020）（正在收录）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https://www.ehs.cn/law/114134.html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12</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压力管道规范 工业管道 第3部分：设计和计算（GB/T 20801.3-2020）（正在收录）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https://www.ehs.cn/law/114133.html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13</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压力管道规范 工业管道 第2部分：材料（GB/T 20801.2-2020）（正在收录）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https://www.ehs.cn/law/114132.html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14</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机械安全 接近机械的固定设施 第4部分：固定式直梯（GB/T 17888.4-2020）（正在收录）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https://www.ehs.cn/law/114131.html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15</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机械安全 接近机械的固定设施 第3部分：楼梯、阶梯和护栏（GB/T 17888.3-2020）（正在收录）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https://www.ehs.cn/law/114130.html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16</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机械安全 接近机械的固定设施 第2部分：工作平台与通道（GB/T 17888.2-2020）（正在收录）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https://www.ehs.cn/law/114129.html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17</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机械安全 接近机械的固定设施 第1部分：固定设施的选择及接近的一般要求（GB/T 17888.1-2020）（正在收录）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https://www.ehs.cn/law/114128.html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18</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坠落防护 安全带系统性能测试方法（GB/T 6096-2020）（正在收录）</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https://www.ehs.cn/law/114127.html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19</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中华人民共和国国家标准公告2020年第26号</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2020.11.19</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1A2930"/>
                <w:sz w:val="21"/>
                <w:szCs w:val="21"/>
                <w:u w:val="none"/>
              </w:rPr>
            </w:pPr>
            <w:r>
              <w:rPr>
                <w:rFonts w:hint="eastAsia" w:ascii="宋体" w:hAnsi="宋体" w:eastAsia="宋体" w:cs="宋体"/>
                <w:i w:val="0"/>
                <w:color w:val="1A2930"/>
                <w:kern w:val="0"/>
                <w:sz w:val="21"/>
                <w:szCs w:val="21"/>
                <w:u w:val="none"/>
                <w:bdr w:val="none" w:color="auto" w:sz="0" w:space="0"/>
                <w:lang w:val="en-US" w:eastAsia="zh-CN" w:bidi="ar"/>
              </w:rPr>
              <w:t>https://www.ehs.cn/law/114121.html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w:t>
            </w:r>
          </w:p>
        </w:tc>
        <w:tc>
          <w:tcPr>
            <w:tcW w:w="1379" w:type="pct"/>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关于征求《人类组织样本采集与处理第1部分：手术切除组织》等14项推荐性国家标准（报批稿）意见的通知</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2020.11.05</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2020.11.05</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http://www.samr.gov.cn/bzjss/zqyj/202011/t20201105_323075.html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21</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关于征求GB/T 38079-2019《淀粉基塑料购物袋》国家标准第1号修改单(报批稿）意见的通知</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2020.11.10</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2020.11.10</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http://www.samr.gov.cn/bzjss/zqyj/202011/t20201110_323247.html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22</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关于征求《工业氯化铁》等551项拟立项推荐性国家标准项目意见的通知</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2020.11.06</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2020.11.06</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http://www.samr.gov.cn/bzjss/zqyj/202011/t20201106_323148.html</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23</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关于发布国家环境保护标准《甲醇燃料汽车非常规污染物排放测量方法》的公告</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2020.11.10</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2020.11.10</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http://www.law-lib.com/law/law_view.asp?id=707868</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24</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教育部关于取消《在港澳地区学习证明》《大陆居民在台湾地区学习证明》的公告</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2020.11.18</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2020.11.18</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http://www.law-lib.com/law/law_view.asp?id=707862</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25</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国务院办公厅关于防止耕地“非粮化”稳定粮食生产的意见</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2020.11.04</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2020.11.04</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http://www.law-lib.com/law/law_view.asp?id=707616</w:t>
            </w:r>
          </w:p>
        </w:tc>
      </w:tr>
      <w:tr>
        <w:tblPrEx>
          <w:shd w:val="clear"/>
          <w:tblCellMar>
            <w:top w:w="0" w:type="dxa"/>
            <w:left w:w="0" w:type="dxa"/>
            <w:bottom w:w="0" w:type="dxa"/>
            <w:right w:w="0" w:type="dxa"/>
          </w:tblCellMar>
        </w:tblPrEx>
        <w:trPr>
          <w:trHeight w:val="80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26</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最高人民法院关于知识产权民事诉讼证据的若干规定</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2020.11.16</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2020.11.16</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http://www.law-lib.com/law/law_view.asp?id=707466</w:t>
            </w:r>
          </w:p>
        </w:tc>
      </w:tr>
      <w:tr>
        <w:tblPrEx>
          <w:shd w:val="clear"/>
          <w:tblCellMar>
            <w:top w:w="0" w:type="dxa"/>
            <w:left w:w="0" w:type="dxa"/>
            <w:bottom w:w="0" w:type="dxa"/>
            <w:right w:w="0" w:type="dxa"/>
          </w:tblCellMar>
        </w:tblPrEx>
        <w:trPr>
          <w:trHeight w:val="72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27</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最高人民法院关于加强著作权和与著作权有关的权利保护的意见</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2020.11.16</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2020.11.16</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0"/>
                <w:szCs w:val="20"/>
                <w:u w:val="single"/>
              </w:rPr>
            </w:pPr>
            <w:r>
              <w:rPr>
                <w:rFonts w:hint="eastAsia" w:ascii="宋体" w:hAnsi="宋体" w:eastAsia="宋体" w:cs="宋体"/>
                <w:i w:val="0"/>
                <w:color w:val="0000FF"/>
                <w:kern w:val="0"/>
                <w:sz w:val="20"/>
                <w:szCs w:val="20"/>
                <w:u w:val="single"/>
                <w:bdr w:val="none" w:color="auto" w:sz="0" w:space="0"/>
                <w:lang w:val="en-US" w:eastAsia="zh-CN" w:bidi="ar"/>
              </w:rPr>
              <w:t>http://www.law-lib.com/law/law_view.asp?id=707464</w:t>
            </w:r>
          </w:p>
        </w:tc>
      </w:tr>
      <w:tr>
        <w:tblPrEx>
          <w:shd w:val="clear"/>
          <w:tblCellMar>
            <w:top w:w="0" w:type="dxa"/>
            <w:left w:w="0" w:type="dxa"/>
            <w:bottom w:w="0" w:type="dxa"/>
            <w:right w:w="0" w:type="dxa"/>
          </w:tblCellMar>
        </w:tblPrEx>
        <w:trPr>
          <w:trHeight w:val="72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28</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国务院办公厅关于同意建立第二轮土地承包到期后再延长三十年试点部际联席会议制度的函</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2020.11.09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2020.11.09</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http://www.law-lib.com/law/law_view.asp?id=707369</w:t>
            </w:r>
          </w:p>
        </w:tc>
      </w:tr>
      <w:tr>
        <w:tblPrEx>
          <w:shd w:val="clear"/>
          <w:tblCellMar>
            <w:top w:w="0" w:type="dxa"/>
            <w:left w:w="0" w:type="dxa"/>
            <w:bottom w:w="0" w:type="dxa"/>
            <w:right w:w="0" w:type="dxa"/>
          </w:tblCellMar>
        </w:tblPrEx>
        <w:trPr>
          <w:trHeight w:val="72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29</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中国银保监会关于保险资金财务性股权投资有关事项的通知</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2020.11.12</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2020.11.12</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http://www.law-lib.com/law/law_view.asp?id=707125</w:t>
            </w:r>
          </w:p>
        </w:tc>
      </w:tr>
      <w:tr>
        <w:tblPrEx>
          <w:shd w:val="clear"/>
          <w:tblCellMar>
            <w:top w:w="0" w:type="dxa"/>
            <w:left w:w="0" w:type="dxa"/>
            <w:bottom w:w="0" w:type="dxa"/>
            <w:right w:w="0" w:type="dxa"/>
          </w:tblCellMar>
        </w:tblPrEx>
        <w:trPr>
          <w:trHeight w:val="72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30</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关于海南自由贸易港原辅料“零关税”政策的通知</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2020.11.11</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2020.11.11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http://www.law-lib.com/law/law_view.asp?id=707122</w:t>
            </w:r>
          </w:p>
        </w:tc>
      </w:tr>
      <w:tr>
        <w:tblPrEx>
          <w:shd w:val="clear"/>
          <w:tblCellMar>
            <w:top w:w="0" w:type="dxa"/>
            <w:left w:w="0" w:type="dxa"/>
            <w:bottom w:w="0" w:type="dxa"/>
            <w:right w:w="0" w:type="dxa"/>
          </w:tblCellMar>
        </w:tblPrEx>
        <w:trPr>
          <w:trHeight w:val="72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31</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全国人民代表大会常务委员会关于修改《中华人民共和国著作权法》的决定</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2020.11.11</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2020.11.11</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http://www.law-lib.com/law/law_view.asp?id=706612</w:t>
            </w:r>
          </w:p>
        </w:tc>
      </w:tr>
      <w:tr>
        <w:tblPrEx>
          <w:shd w:val="clear"/>
          <w:tblCellMar>
            <w:top w:w="0" w:type="dxa"/>
            <w:left w:w="0" w:type="dxa"/>
            <w:bottom w:w="0" w:type="dxa"/>
            <w:right w:w="0" w:type="dxa"/>
          </w:tblCellMar>
        </w:tblPrEx>
        <w:trPr>
          <w:trHeight w:val="72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32</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关于因新冠肺炎疫情不可抗力出口退运货物税收规定的公告</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2020.11.02</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2020.11.02</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http://www.law-lib.com/law/law_view.asp?id=705359</w:t>
            </w:r>
          </w:p>
        </w:tc>
      </w:tr>
      <w:tr>
        <w:tblPrEx>
          <w:shd w:val="clear"/>
          <w:tblCellMar>
            <w:top w:w="0" w:type="dxa"/>
            <w:left w:w="0" w:type="dxa"/>
            <w:bottom w:w="0" w:type="dxa"/>
            <w:right w:w="0" w:type="dxa"/>
          </w:tblCellMar>
        </w:tblPrEx>
        <w:trPr>
          <w:trHeight w:val="72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33</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中国汽车工业协会关于《旅居车辆太阳能系统应用规范》等6项团体标准征求意见的通知</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2020.11.10</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2020.11.10</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http://www.law-lib.com/fzdt/newshtml/20/20201120104037.htm</w:t>
            </w:r>
          </w:p>
        </w:tc>
      </w:tr>
      <w:tr>
        <w:tblPrEx>
          <w:shd w:val="clear"/>
          <w:tblCellMar>
            <w:top w:w="0" w:type="dxa"/>
            <w:left w:w="0" w:type="dxa"/>
            <w:bottom w:w="0" w:type="dxa"/>
            <w:right w:w="0" w:type="dxa"/>
          </w:tblCellMar>
        </w:tblPrEx>
        <w:trPr>
          <w:trHeight w:val="72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34</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市场监管总局关于发布《特殊食品注册现场核查工作规程（暂行）》的公告</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2020.11.25</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2020.11.25</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http://www.law-lib.com/law/law_view.asp?id=708136</w:t>
            </w:r>
          </w:p>
        </w:tc>
      </w:tr>
      <w:tr>
        <w:tblPrEx>
          <w:shd w:val="clear"/>
          <w:tblCellMar>
            <w:top w:w="0" w:type="dxa"/>
            <w:left w:w="0" w:type="dxa"/>
            <w:bottom w:w="0" w:type="dxa"/>
            <w:right w:w="0" w:type="dxa"/>
          </w:tblCellMar>
        </w:tblPrEx>
        <w:trPr>
          <w:trHeight w:val="74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35</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关于调整加工贸易禁止类商品目录的公告</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2020.11.05</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2020.11.05</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http://www.law-lib.com/law/law_view.asp?id=707863</w:t>
            </w:r>
          </w:p>
        </w:tc>
      </w:tr>
      <w:tr>
        <w:tblPrEx>
          <w:shd w:val="clear"/>
          <w:tblCellMar>
            <w:top w:w="0" w:type="dxa"/>
            <w:left w:w="0" w:type="dxa"/>
            <w:bottom w:w="0" w:type="dxa"/>
            <w:right w:w="0" w:type="dxa"/>
          </w:tblCellMar>
        </w:tblPrEx>
        <w:trPr>
          <w:trHeight w:val="740" w:hRule="atLeast"/>
        </w:trPr>
        <w:tc>
          <w:tcPr>
            <w:tcW w:w="243"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36</w:t>
            </w:r>
          </w:p>
        </w:tc>
        <w:tc>
          <w:tcPr>
            <w:tcW w:w="137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国务院办公厅关于同意建立第二轮土地承包到期后再延长三十年试点部际联席会议制度的函</w:t>
            </w:r>
          </w:p>
        </w:tc>
        <w:tc>
          <w:tcPr>
            <w:tcW w:w="509"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2020.11.09</w:t>
            </w:r>
          </w:p>
        </w:tc>
        <w:tc>
          <w:tcPr>
            <w:tcW w:w="482"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2020.11.09</w:t>
            </w:r>
          </w:p>
        </w:tc>
        <w:tc>
          <w:tcPr>
            <w:tcW w:w="2385" w:type="pc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http://www.law-lib.com/law/law_view.asp?id=707369</w:t>
            </w:r>
          </w:p>
        </w:tc>
      </w:tr>
    </w:tbl>
    <w:p/>
    <w:sectPr>
      <w:pgSz w:w="11906" w:h="16838"/>
      <w:pgMar w:top="1440" w:right="669" w:bottom="1440" w:left="66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175205"/>
    <w:rsid w:val="40175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