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Ind w:w="0" w:type="dxa"/>
        <w:shd w:val="clear"/>
        <w:tblLayout w:type="fixed"/>
        <w:tblCellMar>
          <w:top w:w="0" w:type="dxa"/>
          <w:left w:w="0" w:type="dxa"/>
          <w:bottom w:w="0" w:type="dxa"/>
          <w:right w:w="0" w:type="dxa"/>
        </w:tblCellMar>
      </w:tblPr>
      <w:tblGrid>
        <w:gridCol w:w="431"/>
        <w:gridCol w:w="3016"/>
        <w:gridCol w:w="1110"/>
        <w:gridCol w:w="1920"/>
        <w:gridCol w:w="4121"/>
      </w:tblGrid>
      <w:tr>
        <w:tblPrEx>
          <w:tblCellMar>
            <w:top w:w="0" w:type="dxa"/>
            <w:left w:w="0" w:type="dxa"/>
            <w:bottom w:w="0" w:type="dxa"/>
            <w:right w:w="0" w:type="dxa"/>
          </w:tblCellMar>
        </w:tblPrEx>
        <w:trPr>
          <w:trHeight w:val="80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2020年12月法律法规更新清单</w:t>
            </w:r>
          </w:p>
        </w:tc>
      </w:tr>
      <w:tr>
        <w:tblPrEx>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NO.</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名称</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颁布日期</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bookmarkStart w:id="0" w:name="_GoBack"/>
            <w:bookmarkEnd w:id="0"/>
            <w:r>
              <w:rPr>
                <w:rFonts w:hint="eastAsia" w:ascii="微软雅黑" w:hAnsi="微软雅黑" w:eastAsia="微软雅黑" w:cs="微软雅黑"/>
                <w:i w:val="0"/>
                <w:color w:val="000000"/>
                <w:kern w:val="0"/>
                <w:sz w:val="22"/>
                <w:szCs w:val="22"/>
                <w:u w:val="none"/>
                <w:bdr w:val="none" w:color="auto" w:sz="0" w:space="0"/>
                <w:lang w:val="en-US" w:eastAsia="zh-CN" w:bidi="ar"/>
              </w:rPr>
              <w:t>实施日期</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来源</w:t>
            </w:r>
          </w:p>
        </w:tc>
      </w:tr>
      <w:tr>
        <w:tblPrEx>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市场监管总局关于加强网上销售消费品召回监管的公告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2020.12.28</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2020.12.28</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http://www.law-lib.com/law/law_view.asp?id=708634</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关于做好防止农民工工资专用账户资金和工资保证金被查封、冻结或者划拨有关工作的通知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2020.12.25</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2020.12.25</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http://www.law-lib.com/law/law_view.asp?id=708633</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国家赔偿法颁布实施二十五周年典型案例</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2020.12.29</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2020.12.29</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http://www.law-lib.com/law/law_view.asp?id=708632</w:t>
            </w:r>
          </w:p>
        </w:tc>
      </w:tr>
      <w:tr>
        <w:tblPrEx>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近岸海域环境监测技术规范 第二部分 数据处理与信息管理（HJ 442.2-2020）</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2020.12.16</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https://www.ehs.cn/law/114601.html</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近岸海域环境监测技术规范 第一部分 总则（HJ 442.1-2020）</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2020.12.16</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https://www.ehs.cn/law/114600.html</w:t>
            </w:r>
          </w:p>
        </w:tc>
      </w:tr>
      <w:tr>
        <w:tblPrEx>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6</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关于发布《近岸海域环境监测技术规范 第一部分 总则》等10项国家环境保护标准的公告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2020.12.16</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https://www.ehs.cn/law/114584.html</w:t>
            </w:r>
          </w:p>
        </w:tc>
      </w:tr>
      <w:tr>
        <w:tblPrEx>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甘肃省住房和城乡建设厅关于印发《甘肃省建设工程消防设计技术审查要点》的通知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2020.12.17</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2021.01.01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https://www.ehs.cn/law/114609.html</w:t>
            </w:r>
          </w:p>
        </w:tc>
      </w:tr>
      <w:tr>
        <w:tblPrEx>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8</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北京市发展和改革委员会 北京市生态环境局关于印发北京市塑料污染治理行动计划（2020-2025年）的通知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2020.12.18</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2020.12.18</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https://www.ehs.cn/law/114624.html</w:t>
            </w:r>
          </w:p>
        </w:tc>
      </w:tr>
      <w:tr>
        <w:tblPrEx>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9</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浙江省人民政府关于废止《浙江省组织机构代码管理办法》等10件规章的决定</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2020.12.19</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2020.12.19</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https://www.ehs.cn/law/114630.html</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10</w:t>
            </w:r>
          </w:p>
        </w:tc>
        <w:tc>
          <w:tcPr>
            <w:tcW w:w="1422" w:type="pct"/>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关于增补《中国现有化学物质名录》的公告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2020.12.19</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2020.12.19</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https://www.ehs.cn/law/114590.html</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11</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河北省有限空间作业安全管理规定</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2020.12.23</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https://www.ehs.cn/law/114634.html</w:t>
            </w:r>
          </w:p>
        </w:tc>
      </w:tr>
      <w:tr>
        <w:tblPrEx>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12</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河北省节能监察办法</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2020.12.23</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https://www.ehs.cn/law/114633.html</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13</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关于发布国家生态环境基准《淡水水生生物水质基准—苯酚》（2020年版）及其技术报告的公告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2020.12.23</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2020.12.23</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https://www.ehs.cn/law/114591.html</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14</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中共北京市委生态文明建设委员会办公室关于印发《关于北京市生态环境分区管控（“三线一单”）的实施意见》的通知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https://www.ehs.cn/law/114627.html</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15</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中共中央办公厅 国务院办公厅印发《关于做好2021年元旦春节期间有关工作的通知》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https://www.ehs.cn/law/114623.html</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16</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浙江省生活垃圾管理条例</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2021.05.01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https://www.ehs.cn/law/114622.html</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17</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中华人民共和国长江保护法</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2020.12.26</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https://www.ehs.cn/law/114617.html</w:t>
            </w:r>
          </w:p>
        </w:tc>
      </w:tr>
      <w:tr>
        <w:tblPrEx>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18</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中华人民共和国刑法修正案（十一）</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2020.12.26</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https://www.ehs.cn/law/114616.html</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19</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全国人民代表大会常务委员会关于批准《中华人民共和国和土耳其共和国引渡条约》的决定</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2020.12.26</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2020.12.26</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1A2930"/>
                <w:sz w:val="21"/>
                <w:szCs w:val="21"/>
                <w:u w:val="none"/>
              </w:rPr>
            </w:pPr>
            <w:r>
              <w:rPr>
                <w:rFonts w:hint="eastAsia" w:ascii="宋体" w:hAnsi="宋体" w:eastAsia="宋体" w:cs="宋体"/>
                <w:i w:val="0"/>
                <w:color w:val="1A2930"/>
                <w:kern w:val="0"/>
                <w:sz w:val="21"/>
                <w:szCs w:val="21"/>
                <w:u w:val="none"/>
                <w:bdr w:val="none" w:color="auto" w:sz="0" w:space="0"/>
                <w:lang w:val="en-US" w:eastAsia="zh-CN" w:bidi="ar"/>
              </w:rPr>
              <w:t>http://www.law-lib.com/law/law_view.asp?id=708271</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w:t>
            </w:r>
          </w:p>
        </w:tc>
        <w:tc>
          <w:tcPr>
            <w:tcW w:w="1422" w:type="pct"/>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中国银保监会办公厅关于印发责任保险业务监管办法的通知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2020.12.22</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2020.12.22</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http://www.law-lib.com/law/law_view.asp?id=708264</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21</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关于印发《安全应急装备应用试点示范工程管理办法（试行）》的通知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2020.12.15</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2020.12.15</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http://www.law-lib.com/law/law_view.asp?id=708263</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22</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国务院办公厅关于建设第三批大众创业万众创新示范基地的通知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2020.12.09</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2020.12.09</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http://www.law-lib.com/law/law_view.asp?id=708261</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23</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铁路安全生产领域公益诉讼典型案例</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http://www.law-lib.com/law/law_view.asp?id=708259</w:t>
            </w:r>
          </w:p>
        </w:tc>
      </w:tr>
      <w:tr>
        <w:tblPrEx>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24</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关于依法惩治非法野生动物交易犯罪的指导意见</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2020.12.18</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2020.12.18</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http://www.law-lib.com/law/law_view.asp?id=708257</w:t>
            </w:r>
          </w:p>
        </w:tc>
      </w:tr>
      <w:tr>
        <w:tblPrEx>
          <w:shd w:val="clear"/>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25</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海关总署关于废止部分规章的决定</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2020.12.21</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http://www.law-lib.com/law/law_view.asp?id=708256</w:t>
            </w:r>
          </w:p>
        </w:tc>
      </w:tr>
      <w:tr>
        <w:tblPrEx>
          <w:tblCellMar>
            <w:top w:w="0" w:type="dxa"/>
            <w:left w:w="0" w:type="dxa"/>
            <w:bottom w:w="0" w:type="dxa"/>
            <w:right w:w="0" w:type="dxa"/>
          </w:tblCellMar>
        </w:tblPrEx>
        <w:trPr>
          <w:trHeight w:val="80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26</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中华人民共和国海关进出口货物减免税管理办法</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2020.12.21</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http://www.law-lib.com/law/law_view.asp?id=708255</w:t>
            </w:r>
          </w:p>
        </w:tc>
      </w:tr>
      <w:tr>
        <w:tblPrEx>
          <w:shd w:val="clear"/>
          <w:tblCellMar>
            <w:top w:w="0" w:type="dxa"/>
            <w:left w:w="0" w:type="dxa"/>
            <w:bottom w:w="0" w:type="dxa"/>
            <w:right w:w="0" w:type="dxa"/>
          </w:tblCellMar>
        </w:tblPrEx>
        <w:trPr>
          <w:trHeight w:val="72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27</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网络招聘服务管理规定</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2020.12.18</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2020.12.18</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0"/>
                <w:szCs w:val="20"/>
                <w:u w:val="single"/>
              </w:rPr>
            </w:pPr>
            <w:r>
              <w:rPr>
                <w:rFonts w:hint="eastAsia" w:ascii="宋体" w:hAnsi="宋体" w:eastAsia="宋体" w:cs="宋体"/>
                <w:i w:val="0"/>
                <w:color w:val="0000FF"/>
                <w:kern w:val="0"/>
                <w:sz w:val="20"/>
                <w:szCs w:val="20"/>
                <w:u w:val="single"/>
                <w:bdr w:val="none" w:color="auto" w:sz="0" w:space="0"/>
                <w:lang w:val="en-US" w:eastAsia="zh-CN" w:bidi="ar"/>
              </w:rPr>
              <w:t>http://www.law-lib.com/law/law_view.asp?id=708253</w:t>
            </w:r>
          </w:p>
        </w:tc>
      </w:tr>
      <w:tr>
        <w:tblPrEx>
          <w:shd w:val="clear"/>
          <w:tblCellMar>
            <w:top w:w="0" w:type="dxa"/>
            <w:left w:w="0" w:type="dxa"/>
            <w:bottom w:w="0" w:type="dxa"/>
            <w:right w:w="0" w:type="dxa"/>
          </w:tblCellMar>
        </w:tblPrEx>
        <w:trPr>
          <w:trHeight w:val="72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28</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国务院关税税则委员会关于2021年关税调整方案的通知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2020.12.21</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http://www.law-lib.com/law/law_view.asp?id=708252</w:t>
            </w:r>
          </w:p>
        </w:tc>
      </w:tr>
      <w:tr>
        <w:tblPrEx>
          <w:shd w:val="clear"/>
          <w:tblCellMar>
            <w:top w:w="0" w:type="dxa"/>
            <w:left w:w="0" w:type="dxa"/>
            <w:bottom w:w="0" w:type="dxa"/>
            <w:right w:w="0" w:type="dxa"/>
          </w:tblCellMar>
        </w:tblPrEx>
        <w:trPr>
          <w:trHeight w:val="72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29</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生物制品批签发管理办法</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2020.12.11</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http://www.law-lib.com/law/law_view.asp?id=708250</w:t>
            </w:r>
          </w:p>
        </w:tc>
      </w:tr>
      <w:tr>
        <w:tblPrEx>
          <w:shd w:val="clear"/>
          <w:tblCellMar>
            <w:top w:w="0" w:type="dxa"/>
            <w:left w:w="0" w:type="dxa"/>
            <w:bottom w:w="0" w:type="dxa"/>
            <w:right w:w="0" w:type="dxa"/>
          </w:tblCellMar>
        </w:tblPrEx>
        <w:trPr>
          <w:trHeight w:val="72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30</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市场监管总局关于加强网上销售消费品召回监管的公告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2020.12.28</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2020.12.28</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http://www.law-lib.com/law/law_view.asp?id=708634</w:t>
            </w:r>
          </w:p>
        </w:tc>
      </w:tr>
      <w:tr>
        <w:tblPrEx>
          <w:shd w:val="clear"/>
          <w:tblCellMar>
            <w:top w:w="0" w:type="dxa"/>
            <w:left w:w="0" w:type="dxa"/>
            <w:bottom w:w="0" w:type="dxa"/>
            <w:right w:w="0" w:type="dxa"/>
          </w:tblCellMar>
        </w:tblPrEx>
        <w:trPr>
          <w:trHeight w:val="72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31</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全国人民代表大会常务委员会关于设立海南自由贸易港知识产权法院的决定</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2020.12.26</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2020.12.26</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http://www.law-lib.com/law/law_view.asp?id=708278</w:t>
            </w:r>
          </w:p>
        </w:tc>
      </w:tr>
      <w:tr>
        <w:tblPrEx>
          <w:shd w:val="clear"/>
          <w:tblCellMar>
            <w:top w:w="0" w:type="dxa"/>
            <w:left w:w="0" w:type="dxa"/>
            <w:bottom w:w="0" w:type="dxa"/>
            <w:right w:w="0" w:type="dxa"/>
          </w:tblCellMar>
        </w:tblPrEx>
        <w:trPr>
          <w:trHeight w:val="72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32</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全国人民代表大会常务委员会关于加强国有资产管理情况监督的决定</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2020.12.26</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2020.12.26</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http://www.law-lib.com/law/law_view.asp?id=708279</w:t>
            </w:r>
          </w:p>
        </w:tc>
      </w:tr>
      <w:tr>
        <w:tblPrEx>
          <w:shd w:val="clear"/>
          <w:tblCellMar>
            <w:top w:w="0" w:type="dxa"/>
            <w:left w:w="0" w:type="dxa"/>
            <w:bottom w:w="0" w:type="dxa"/>
            <w:right w:w="0" w:type="dxa"/>
          </w:tblCellMar>
        </w:tblPrEx>
        <w:trPr>
          <w:trHeight w:val="72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33</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工业和信息化部关于印发《工业互联网标识管理办法》的通知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2020.12.25</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2020.12.25</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http://www.law-lib.com/law/law_view.asp?id=708356</w:t>
            </w:r>
          </w:p>
        </w:tc>
      </w:tr>
      <w:tr>
        <w:tblPrEx>
          <w:shd w:val="clear"/>
          <w:tblCellMar>
            <w:top w:w="0" w:type="dxa"/>
            <w:left w:w="0" w:type="dxa"/>
            <w:bottom w:w="0" w:type="dxa"/>
            <w:right w:w="0" w:type="dxa"/>
          </w:tblCellMar>
        </w:tblPrEx>
        <w:trPr>
          <w:trHeight w:val="72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34</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关于做好防止农民工工资专用账户资金和工资保证金被查封、冻结或者划拨有关工作的通知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2020.12.25</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2020.12.25</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http://www.law-lib.com/law/law_view.asp?id=708633</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35</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市场监管总局关于发布羊绒针织衫等41种产品质量国家监督抽查实施细则的公告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http://www.law-lib.com/law/law_view.asp?id=708882</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36</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市场监管总局办公厅关于2020年塑胶玩具等38种产品质量国家监督抽查情况的通报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http://www.law-lib.com/law/law_view.asp?id=708880</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37</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铁路安全生产领域公益诉讼典型案例</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http://www.law-lib.com/law/law_view.asp?id=708259</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38</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教育部、财政部关于印发《中国特色高水平高职学校和专业建设计划绩效管理暂行办法》的通知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2020.12.21</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2020.12.21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http://www.law-lib.com/law/law_view.asp?id=708630</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39</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关于印发《安全应急装备应用试点示范工程管理办法（试行）》的通知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2020.12.15</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2020.12.15</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http://www.law-lib.com/law/law_view.asp?id=708263</w:t>
            </w:r>
          </w:p>
        </w:tc>
      </w:tr>
      <w:tr>
        <w:tblPrEx>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40</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关于《道路机动车辆生产企业及产品公告》（第339批）拟发布内容的补充公示</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2020.12.15</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2020.12.15</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http://www.law-lib.com/law/law_view.asp?id=708228</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41</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市场监管总局关于15批次食品不合格情况的通告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2020.12.15</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2020.12.15</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http://www.law-lib.com/law/law_view.asp?id=708887</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42</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关于调整甲醇汽车产品准入相关要求的通知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http://www.law-lib.com/law/law_view.asp?id=708227</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43</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国务院办公厅关于交通运输综合行政执法有关事项的通知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http://www.law-lib.com/law/law_view.asp?id=708258</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44</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交通运输部办公厅关于优化道路运输车辆技术管理 便利开展车辆技术等级评定工作的通知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http://www.law-lib.com/law/law_view.asp?id=708230</w:t>
            </w:r>
          </w:p>
        </w:tc>
      </w:tr>
      <w:tr>
        <w:tblPrEx>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45</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交通运输部办公厅关于进一步做好总质量4500千克及以下普通货运车辆“放管服”改革有关工作的通知 </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http://www.law-lib.com/law/law_view.asp?id=708231</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46</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国家税务总局关于水土保持补偿费等政府非税收入项目征管职责划转有关事项的公告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2020.12.11</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http://www.law-lib.com/law/law_view.asp?id=708222</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47</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商务部办公厅关于做好一次性塑料制品使用、回收报告工作有关事项的通知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2020.12.11</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http://www.law-lib.com/law/law_view.asp?id=708229</w:t>
            </w:r>
          </w:p>
        </w:tc>
      </w:tr>
      <w:tr>
        <w:tblPrEx>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48</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关于发布《进口旧机电产品装运前检验监督管理实施细则》的公告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2020.12.11</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http://www.law-lib.com/law/law_view.asp?id=708207</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49</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关于促进集成电路产业和软件产业高质量发展企业所得税政策的公告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2020.12.11</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2020.12.11</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http://www.law-lib.com/law/law_view.asp?id=708220</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50</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国家税务总局办公厅关于明确2021年度申报纳税期限的通知</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2020.12.09</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2020.12.09</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http://www.law-lib.com/law/law_view.asp?id=708223</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51</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2020年第31号中国国家标准公告关于批准发布《摩托车轮胎》等26项强制性国家标准和2项强制性国家标准修改单的公告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http://std.sacinfo.org.cn/gnoc/queryInfo?id=2B80A91A523634A74B7129E46D66772F</w:t>
            </w:r>
          </w:p>
        </w:tc>
      </w:tr>
      <w:tr>
        <w:tblPrEx>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52</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2020年第30号中国国家标准公告（关于批准发布《国家公园总体规划技术规范》等5项国家标准的公告）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2020.12.22</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2020.12.22</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http://std.sacinfo.org.cn/gnoc/queryInfo?id=BB55E4975A424ADF1D99A859C145D33E</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53</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2020年第28号中国国家标准公告（关于批准发布《立体仓库货架系统设计规范》等323项推荐性国家标准和4项国家标准修改单的公告）</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2020.12.14</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2020.12.14</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http://std.sacinfo.org.cn/gnoc/queryInfo?id=D85840E752F472236A62D018FF190D8E</w:t>
            </w:r>
          </w:p>
        </w:tc>
      </w:tr>
      <w:tr>
        <w:tblPrEx>
          <w:shd w:val="clear"/>
          <w:tblCellMar>
            <w:top w:w="0" w:type="dxa"/>
            <w:left w:w="0" w:type="dxa"/>
            <w:bottom w:w="0" w:type="dxa"/>
            <w:right w:w="0" w:type="dxa"/>
          </w:tblCellMar>
        </w:tblPrEx>
        <w:trPr>
          <w:trHeight w:val="740" w:hRule="atLeast"/>
        </w:trPr>
        <w:tc>
          <w:tcPr>
            <w:tcW w:w="20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54</w:t>
            </w:r>
          </w:p>
        </w:tc>
        <w:tc>
          <w:tcPr>
            <w:tcW w:w="142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国务院关于实施动产和权利担保统一登记的决定</w:t>
            </w:r>
          </w:p>
        </w:tc>
        <w:tc>
          <w:tcPr>
            <w:tcW w:w="52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2020.12.29</w:t>
            </w:r>
          </w:p>
        </w:tc>
        <w:tc>
          <w:tcPr>
            <w:tcW w:w="90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2020.12.29</w:t>
            </w:r>
          </w:p>
        </w:tc>
        <w:tc>
          <w:tcPr>
            <w:tcW w:w="1944"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http://www.gov.cn/zhengce/content/2020-12/29/content_5574773.htm</w:t>
            </w:r>
          </w:p>
        </w:tc>
      </w:tr>
    </w:tbl>
    <w:p/>
    <w:sectPr>
      <w:pgSz w:w="11906" w:h="16838"/>
      <w:pgMar w:top="1440" w:right="669" w:bottom="1440" w:left="66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