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Ind w:w="0" w:type="dxa"/>
        <w:shd w:val="clear"/>
        <w:tblLayout w:type="autofit"/>
        <w:tblCellMar>
          <w:top w:w="0" w:type="dxa"/>
          <w:left w:w="0" w:type="dxa"/>
          <w:bottom w:w="0" w:type="dxa"/>
          <w:right w:w="0" w:type="dxa"/>
        </w:tblCellMar>
      </w:tblPr>
      <w:tblGrid>
        <w:gridCol w:w="442"/>
        <w:gridCol w:w="2628"/>
        <w:gridCol w:w="1030"/>
        <w:gridCol w:w="1030"/>
        <w:gridCol w:w="3770"/>
      </w:tblGrid>
      <w:tr>
        <w:tblPrEx>
          <w:shd w:val="clear"/>
          <w:tblCellMar>
            <w:top w:w="0" w:type="dxa"/>
            <w:left w:w="0" w:type="dxa"/>
            <w:bottom w:w="0" w:type="dxa"/>
            <w:right w:w="0" w:type="dxa"/>
          </w:tblCellMar>
        </w:tblPrEx>
        <w:trPr>
          <w:trHeight w:val="1248" w:hRule="atLeast"/>
        </w:trPr>
        <w:tc>
          <w:tcPr>
            <w:tcW w:w="0" w:type="auto"/>
            <w:gridSpan w:val="5"/>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2021年02月法律法规更新清单</w:t>
            </w:r>
          </w:p>
        </w:tc>
      </w:tr>
      <w:tr>
        <w:tblPrEx>
          <w:shd w:val="clear"/>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NO.</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颁布日期</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实施日期</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2"/>
                <w:szCs w:val="22"/>
                <w:u w:val="none"/>
              </w:rPr>
            </w:pPr>
            <w:r>
              <w:rPr>
                <w:rFonts w:hint="eastAsia" w:ascii="微软雅黑" w:hAnsi="微软雅黑" w:eastAsia="微软雅黑" w:cs="微软雅黑"/>
                <w:i w:val="0"/>
                <w:color w:val="000000"/>
                <w:kern w:val="0"/>
                <w:sz w:val="22"/>
                <w:szCs w:val="22"/>
                <w:u w:val="none"/>
                <w:bdr w:val="none" w:color="auto" w:sz="0" w:space="0"/>
                <w:lang w:val="en-US" w:eastAsia="zh-CN" w:bidi="ar"/>
              </w:rPr>
              <w:t>来源</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w:t>
            </w:r>
          </w:p>
        </w:tc>
        <w:tc>
          <w:tcPr>
            <w:tcW w:w="0" w:type="auto"/>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中华人民共和国国家标准公告2021年第1号</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https://www.ehs.cn/law/115259.html</w:t>
            </w:r>
          </w:p>
        </w:tc>
      </w:tr>
      <w:tr>
        <w:tblPrEx>
          <w:shd w:val="clear"/>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医用电气设备 第2-43部分：介入操作X射线设备的基本安全和基本性能专用要求（GB 9706.243-2021）（正在收录）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2023.05.01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https://www.ehs.cn/law/115260.html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医用电气设备 第2-65部分：口内成像牙科X射线机的基本安全和基本性能专用要求（GB 9706.265-2021）（正在收录）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2023.05.01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w:t>
            </w:r>
            <w:bookmarkStart w:id="0" w:name="_GoBack"/>
            <w:bookmarkEnd w:id="0"/>
            <w:r>
              <w:rPr>
                <w:rFonts w:hint="eastAsia" w:ascii="宋体" w:hAnsi="宋体" w:eastAsia="宋体" w:cs="宋体"/>
                <w:i w:val="0"/>
                <w:color w:val="000000"/>
                <w:kern w:val="0"/>
                <w:sz w:val="20"/>
                <w:szCs w:val="20"/>
                <w:u w:val="none"/>
                <w:bdr w:val="none" w:color="auto" w:sz="0" w:space="0"/>
                <w:lang w:val="en-US" w:eastAsia="zh-CN" w:bidi="ar"/>
              </w:rPr>
              <w:t>.ehs.cn/law/115261.html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机动车运行安全技术条件《第2号修改单》（GB 7258-2017）（正在收录）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2021.02.20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https://www.ehs.cn/law/115262.html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交通运输部关于发布《电动营运货车选型技术要求》等15项交通运输行业标准的公告</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2021.02.10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2021.02.10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https://www.ehs.cn/law/115263.html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汽车举升机（JT/T 155-2021）（正在收录）</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2021.02.10</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2021.08.01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https://www.ehs.cn/law/115264.html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关于印发全员新型冠状病毒核酸检测组织实施指南的通知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https://www.ehs.cn/law/115254.html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珠海市人民代表大会常务委员会关于废止《珠海市排水条例》的决定</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https://www.ehs.cn/law/115255.html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珠海经济特区排水管理条例</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https://www.ehs.cn/law/115256.html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10</w:t>
            </w:r>
          </w:p>
        </w:tc>
        <w:tc>
          <w:tcPr>
            <w:tcW w:w="0" w:type="auto"/>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珠海市人民代表大会常务委员会关于修改《珠海市供水用水管理条例》的决定</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2021.02.07</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https://www.ehs.cn/law/115257.html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应急管理部办公厅关于印发危险化学品企业重大危险源安全包保责任制办法（试行）的通知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https://www.ehs.cn/law/115253.html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江苏煤矿安全监察局关于开展煤矿“一通三防”专项监察的通知</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2"/>
                <w:szCs w:val="22"/>
                <w:u w:val="single"/>
              </w:rPr>
            </w:pPr>
            <w:r>
              <w:rPr>
                <w:rFonts w:hint="eastAsia" w:ascii="宋体" w:hAnsi="宋体" w:eastAsia="宋体" w:cs="宋体"/>
                <w:i w:val="0"/>
                <w:color w:val="0000FF"/>
                <w:kern w:val="0"/>
                <w:sz w:val="22"/>
                <w:szCs w:val="22"/>
                <w:u w:val="single"/>
                <w:bdr w:val="none" w:color="auto" w:sz="0" w:space="0"/>
                <w:lang w:val="en-US" w:eastAsia="zh-CN" w:bidi="ar"/>
              </w:rPr>
              <w:t>https://www.ehs.cn/law/115160.html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山东省市场监督管理局关于批准发布《城市地价动态监测数据上报质量控制规范》等22项山东省地方标准的公告</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https://www.ehs.cn/law/115213.html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小于0.1 MPa低压锅炉 安全技术要求（DB37/T 4313-2021）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https://www.ehs.cn/law/115214.html</w:t>
            </w:r>
          </w:p>
        </w:tc>
      </w:tr>
      <w:tr>
        <w:tblPrEx>
          <w:tblCellMar>
            <w:top w:w="0" w:type="dxa"/>
            <w:left w:w="0" w:type="dxa"/>
            <w:bottom w:w="0" w:type="dxa"/>
            <w:right w:w="0" w:type="dxa"/>
          </w:tblCellMar>
        </w:tblPrEx>
        <w:trPr>
          <w:trHeight w:val="1248" w:hRule="atLeast"/>
        </w:trPr>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工业煤粉锅炉用煤粉安全技术要求 第3部分：管道输送与储存系统安全技术要求（DB37/T 4317.3-2021）</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2021.02.02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2021.03.02</w:t>
            </w:r>
          </w:p>
        </w:tc>
        <w:tc>
          <w:tcPr>
            <w:tcW w:w="0" w:type="auto"/>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https://www.ehs.cn/law/115215.html</w:t>
            </w:r>
          </w:p>
        </w:tc>
      </w:tr>
    </w:tbl>
    <w:p/>
    <w:sectPr>
      <w:pgSz w:w="11906" w:h="16838"/>
      <w:pgMar w:top="1440" w:right="123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310112"/>
    <w:rsid w:val="03310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