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shd w:val="clear"/>
        <w:tblLayout w:type="fixed"/>
        <w:tblCellMar>
          <w:top w:w="0" w:type="dxa"/>
          <w:left w:w="0" w:type="dxa"/>
          <w:bottom w:w="0" w:type="dxa"/>
          <w:right w:w="0" w:type="dxa"/>
        </w:tblCellMar>
      </w:tblPr>
      <w:tblGrid>
        <w:gridCol w:w="499"/>
        <w:gridCol w:w="2900"/>
        <w:gridCol w:w="1417"/>
        <w:gridCol w:w="1567"/>
        <w:gridCol w:w="4215"/>
      </w:tblGrid>
      <w:tr>
        <w:tblPrEx>
          <w:tblCellMar>
            <w:top w:w="0" w:type="dxa"/>
            <w:left w:w="0" w:type="dxa"/>
            <w:bottom w:w="0" w:type="dxa"/>
            <w:right w:w="0" w:type="dxa"/>
          </w:tblCellMar>
        </w:tblPrEx>
        <w:trPr>
          <w:trHeight w:val="936"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2021年03月法律法规更新清单</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NO.</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名称</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颁布日期</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实施日期</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来源</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1368"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关于废止《苏州市合同格式条款管理办法》等3件规章的决定</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2021.03.12</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2021.03.12</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https://www.ehs.cn/law/115487.html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广东省应急管理厅关于严格落实危险化学品生产“四个严禁”的通知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2021.03.13</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2021.03.13</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https://www.ehs.cn/law/115545.html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市生态环境局 市规划资源局关于更新《天津市建设用地土壤污染风险管控和修复名录》的通知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2021.03.15</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2021.03.15</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https://www.ehs.cn/law/115554.html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关于调整优化我市建设工程消防验收、备案抽查事项的通知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2021.03.15</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2021.04.01</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https://www.ehs.cn/law/115455.html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住房和城乡建设部办公厅关于印发绿色建造技术导则（试行）的通知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2021.03.16</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2021.03.16</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https://www.ehs.cn/law/115544.html</w:t>
            </w:r>
          </w:p>
        </w:tc>
      </w:tr>
      <w:tr>
        <w:tblPrEx>
          <w:shd w:val="clear"/>
          <w:tblCellMar>
            <w:top w:w="0" w:type="dxa"/>
            <w:left w:w="0" w:type="dxa"/>
            <w:bottom w:w="0" w:type="dxa"/>
            <w:right w:w="0" w:type="dxa"/>
          </w:tblCellMar>
        </w:tblPrEx>
        <w:trPr>
          <w:trHeight w:val="90"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市政府关于印发苏州市大件垃圾管理办法的通知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2021.03.13</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2021.05.01</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https://www.ehs.cn/law/115534.html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关于“十四五”大宗固体废弃物综合利用的指导意见</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2021.03.18</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2021.03.18</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https://www.ehs.cn/law/115573.html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市安委会关于印发天津市开展危险化学品安全隐患大起底大排查工作方案的通知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2021.03.18</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2021.03.18</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https://www.ehs.cn/law/115553.html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市应急局关于印发危险化学品安全隐患大起底大排查工作方案的通知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2021.03.19</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2021.03.19</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https://www.ehs.cn/law/115551.html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1368"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市应急局关于向危险化学品企业发出安全警示提醒的通知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2021.03.19</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2021.03.19</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https://www.ehs.cn/law/115550.html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关于印发《农业面源污染治理与监督指导实施方案（试行）》的通知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2021.03.20</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2021.03.20</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https://www.ehs.cn/law/115575.html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12</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山东省铁路安全管理条例</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2021.03.24</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2021.05.01</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https://www.ehs.cn/law/115560.html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13</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浙江省人民代表大会常务委员会关于修改《浙江省防震减灾条例》等五件地方性法规的决定</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2021.03.26</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2021.03.26</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https://www.ehs.cn/law/115578.html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14</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关于印发《企业温室气体排放报告核查指南（试行）》的通知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2021.03.26</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2021.03.26</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https://www.ehs.cn/law/115574.html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15</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深圳市市场监督管理局关于开展2021年度深圳市知识产权保护类专项资金项目申报工作的通知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2021.03.31</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2021.03.31</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http://amr.sz.gov.cn/xxgk/qt/tzgg/content/post_8661031.html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16</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深圳市市场监督管理局关于组织申报2021年度深圳市知识产权运营服务体系建设专项资金资助项目的通知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2021.03.31</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2021.03.31</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http://amr.sz.gov.cn/xxgk/qt/tzgg/content/post_8660305.html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17</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深圳市市场监督管理局关于推荐医疗器械审评专家的通知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2021.03.30</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2021.03.30</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http://amr.sz.gov.cn/xxgk/qt/tzgg/content/post_8659559.html</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18</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深圳市市场监督管理局关于开展2021年上市许可持有人医疗器械不良事件监测自查工作的通知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2021.03.30</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2021.03.30</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http://amr.sz.gov.cn/xxgk/qt/tzgg/content/post_8659513.html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19</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深圳市市场监督管理局关于公开征求《公共饮用水管网运行管理规程》等3项地方标准意见的通告</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2021.03.05</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2021.03.05</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1A2930"/>
                <w:sz w:val="21"/>
                <w:szCs w:val="21"/>
                <w:u w:val="none"/>
              </w:rPr>
            </w:pPr>
            <w:r>
              <w:rPr>
                <w:rFonts w:hint="eastAsia" w:ascii="宋体" w:hAnsi="宋体" w:eastAsia="宋体" w:cs="宋体"/>
                <w:i w:val="0"/>
                <w:color w:val="1A2930"/>
                <w:kern w:val="0"/>
                <w:sz w:val="21"/>
                <w:szCs w:val="21"/>
                <w:u w:val="none"/>
                <w:bdr w:val="none" w:color="auto" w:sz="0" w:space="0"/>
                <w:lang w:val="en-US" w:eastAsia="zh-CN" w:bidi="ar"/>
              </w:rPr>
              <w:t>http://amr.sz.gov.cn/xxgk/qt/tzgg/content/post_8588124.html</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w:t>
            </w:r>
          </w:p>
        </w:tc>
        <w:tc>
          <w:tcPr>
            <w:tcW w:w="1368"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市场监管总局办公厅关于印发《计量标准考评员管理规定》的通知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2021.03.26</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2021.03.26</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http://www.law-lib.com/law/law_view.asp?id=716387</w:t>
            </w:r>
          </w:p>
        </w:tc>
      </w:tr>
      <w:tr>
        <w:tblPrEx>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21</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市场监管总局关于开展2021年“治理涉企收费 减轻企业负担”专项行动工作的通知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2021.03.22</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2021.03.22</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说</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22</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关于印发《关于加强地方国有企业债务风险管控工作的指导意见》的通知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2021.02.28</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2021.02.28</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http://www.law-lib.com/law/law_view.asp?id=715735</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23</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市场监管总局关于婴幼儿配方乳粉产品配方注册有关事宜的公告</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2021.03.23</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2021.03.23</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http://www.law-lib.com/law/law_view.asp?id=715739</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24</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网络交易监督管理办法</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2021.03.15</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2021.03.15</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http://www.law-lib.com/law/law_view.asp?id=714550</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25</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住房和城乡建设部就《关于加强县城绿色低碳建设的通知（征求意见稿）》公开征求意见的通知</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2021.03.30</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2021.03.30</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http://www.law-lib.com/fzdt/newshtml/20/20210330145333.htm</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26</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医疗器械监督管理条例</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2021.03.18</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2021.03.18</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http://www.gov.cn/zhengce/content/2021-03/18/content_5593739.htm</w:t>
            </w:r>
          </w:p>
        </w:tc>
      </w:tr>
      <w:tr>
        <w:tblPrEx>
          <w:shd w:val="clear"/>
          <w:tblCellMar>
            <w:top w:w="0" w:type="dxa"/>
            <w:left w:w="0" w:type="dxa"/>
            <w:bottom w:w="0" w:type="dxa"/>
            <w:right w:w="0" w:type="dxa"/>
          </w:tblCellMar>
        </w:tblPrEx>
        <w:trPr>
          <w:trHeight w:val="936" w:hRule="atLeast"/>
        </w:trPr>
        <w:tc>
          <w:tcPr>
            <w:tcW w:w="23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27</w:t>
            </w:r>
          </w:p>
        </w:tc>
        <w:tc>
          <w:tcPr>
            <w:tcW w:w="13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行政事业性国有资产管理条例</w:t>
            </w:r>
          </w:p>
        </w:tc>
        <w:tc>
          <w:tcPr>
            <w:tcW w:w="66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2021.03.17</w:t>
            </w:r>
          </w:p>
        </w:tc>
        <w:tc>
          <w:tcPr>
            <w:tcW w:w="73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2021.03.17</w:t>
            </w:r>
          </w:p>
        </w:tc>
        <w:tc>
          <w:tcPr>
            <w:tcW w:w="1988"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http://www.gov.cn/zhengce/content/2021-03/17/content_5593484.htm</w:t>
            </w:r>
          </w:p>
        </w:tc>
      </w:tr>
    </w:tbl>
    <w:p>
      <w:bookmarkStart w:id="0" w:name="_GoBack"/>
      <w:bookmarkEnd w:id="0"/>
    </w:p>
    <w:sectPr>
      <w:pgSz w:w="11906" w:h="16838"/>
      <w:pgMar w:top="1440" w:right="669" w:bottom="1440" w:left="66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60008D"/>
    <w:rsid w:val="6A600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