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24312" w:type="dxa"/>
        <w:tblInd w:w="0" w:type="dxa"/>
        <w:tblLayout w:type="fixed"/>
        <w:tblCellMar>
          <w:top w:w="0" w:type="dxa"/>
          <w:left w:w="0" w:type="dxa"/>
          <w:bottom w:w="0" w:type="dxa"/>
          <w:right w:w="0" w:type="dxa"/>
        </w:tblCellMar>
      </w:tblPr>
      <w:tblGrid>
        <w:gridCol w:w="1012"/>
        <w:gridCol w:w="7718"/>
        <w:gridCol w:w="1988"/>
        <w:gridCol w:w="1950"/>
        <w:gridCol w:w="11644"/>
      </w:tblGrid>
      <w:tr w14:paraId="273EB462">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FFFFFF" w:sz="18" w:space="0"/>
              <w:right w:val="single" w:color="4F81BD" w:sz="8" w:space="0"/>
            </w:tcBorders>
            <w:shd w:val="clear" w:color="auto" w:fill="4F81BD"/>
            <w:noWrap/>
            <w:tcMar>
              <w:top w:w="15" w:type="dxa"/>
              <w:left w:w="15" w:type="dxa"/>
              <w:bottom w:w="0" w:type="dxa"/>
              <w:right w:w="15" w:type="dxa"/>
            </w:tcMar>
            <w:vAlign w:val="center"/>
          </w:tcPr>
          <w:p w14:paraId="5101089C">
            <w:pPr>
              <w:jc w:val="center"/>
              <w:rPr>
                <w:color w:val="FFFFFF"/>
              </w:rPr>
            </w:pPr>
            <w:r>
              <w:rPr>
                <w:rFonts w:hint="eastAsia"/>
                <w:color w:val="FFFFFF"/>
              </w:rPr>
              <w:t>No</w:t>
            </w:r>
          </w:p>
        </w:tc>
        <w:tc>
          <w:tcPr>
            <w:tcW w:w="7718" w:type="dxa"/>
            <w:tcBorders>
              <w:top w:val="single" w:color="4F81BD" w:sz="8" w:space="0"/>
              <w:left w:val="single" w:color="4F81BD" w:sz="8" w:space="0"/>
              <w:bottom w:val="single" w:color="FFFFFF" w:sz="18" w:space="0"/>
              <w:right w:val="single" w:color="4F81BD" w:sz="8" w:space="0"/>
            </w:tcBorders>
            <w:shd w:val="clear" w:color="auto" w:fill="4F81BD"/>
            <w:noWrap/>
            <w:tcMar>
              <w:top w:w="15" w:type="dxa"/>
              <w:left w:w="15" w:type="dxa"/>
              <w:bottom w:w="0" w:type="dxa"/>
              <w:right w:w="15" w:type="dxa"/>
            </w:tcMar>
            <w:vAlign w:val="center"/>
          </w:tcPr>
          <w:p w14:paraId="08D7C20A">
            <w:pPr>
              <w:jc w:val="center"/>
              <w:rPr>
                <w:b/>
                <w:bCs/>
                <w:color w:val="FFFFFF"/>
              </w:rPr>
            </w:pPr>
            <w:r>
              <w:rPr>
                <w:rFonts w:hint="eastAsia"/>
                <w:b/>
                <w:bCs/>
                <w:color w:val="FFFFFF"/>
              </w:rPr>
              <w:t>名称</w:t>
            </w:r>
          </w:p>
        </w:tc>
        <w:tc>
          <w:tcPr>
            <w:tcW w:w="1988" w:type="dxa"/>
            <w:tcBorders>
              <w:top w:val="single" w:color="4F81BD" w:sz="8" w:space="0"/>
              <w:left w:val="single" w:color="4F81BD" w:sz="8" w:space="0"/>
              <w:bottom w:val="single" w:color="FFFFFF" w:sz="18" w:space="0"/>
              <w:right w:val="single" w:color="4F81BD" w:sz="8" w:space="0"/>
            </w:tcBorders>
            <w:shd w:val="clear" w:color="auto" w:fill="4F81BD"/>
            <w:noWrap/>
            <w:tcMar>
              <w:top w:w="15" w:type="dxa"/>
              <w:left w:w="15" w:type="dxa"/>
              <w:bottom w:w="0" w:type="dxa"/>
              <w:right w:w="15" w:type="dxa"/>
            </w:tcMar>
            <w:vAlign w:val="center"/>
          </w:tcPr>
          <w:p w14:paraId="5923D6CF">
            <w:pPr>
              <w:jc w:val="center"/>
              <w:rPr>
                <w:b/>
                <w:bCs/>
                <w:color w:val="FFFFFF"/>
              </w:rPr>
            </w:pPr>
            <w:r>
              <w:rPr>
                <w:rFonts w:hint="eastAsia"/>
                <w:b/>
                <w:bCs/>
                <w:color w:val="FFFFFF"/>
              </w:rPr>
              <w:t>颁布日期</w:t>
            </w:r>
          </w:p>
        </w:tc>
        <w:tc>
          <w:tcPr>
            <w:tcW w:w="1950" w:type="dxa"/>
            <w:tcBorders>
              <w:top w:val="single" w:color="4F81BD" w:sz="8" w:space="0"/>
              <w:left w:val="single" w:color="4F81BD" w:sz="8" w:space="0"/>
              <w:bottom w:val="single" w:color="FFFFFF" w:sz="18" w:space="0"/>
              <w:right w:val="single" w:color="4F81BD" w:sz="8" w:space="0"/>
            </w:tcBorders>
            <w:shd w:val="clear" w:color="auto" w:fill="4F81BD"/>
            <w:noWrap/>
            <w:tcMar>
              <w:top w:w="15" w:type="dxa"/>
              <w:left w:w="15" w:type="dxa"/>
              <w:bottom w:w="0" w:type="dxa"/>
              <w:right w:w="15" w:type="dxa"/>
            </w:tcMar>
            <w:vAlign w:val="center"/>
          </w:tcPr>
          <w:p w14:paraId="16B6A4D1">
            <w:pPr>
              <w:jc w:val="center"/>
              <w:rPr>
                <w:b/>
                <w:bCs/>
                <w:color w:val="FFFFFF"/>
              </w:rPr>
            </w:pPr>
            <w:r>
              <w:rPr>
                <w:rFonts w:hint="eastAsia"/>
                <w:b/>
                <w:bCs/>
                <w:color w:val="FFFFFF"/>
              </w:rPr>
              <w:t>实施日期</w:t>
            </w:r>
          </w:p>
        </w:tc>
        <w:tc>
          <w:tcPr>
            <w:tcW w:w="11644" w:type="dxa"/>
            <w:tcBorders>
              <w:top w:val="single" w:color="4F81BD" w:sz="8" w:space="0"/>
              <w:left w:val="single" w:color="4F81BD" w:sz="8" w:space="0"/>
              <w:bottom w:val="single" w:color="FFFFFF" w:sz="18" w:space="0"/>
              <w:right w:val="single" w:color="4F81BD" w:sz="8" w:space="0"/>
            </w:tcBorders>
            <w:shd w:val="clear" w:color="auto" w:fill="4F81BD"/>
            <w:noWrap/>
            <w:tcMar>
              <w:top w:w="15" w:type="dxa"/>
              <w:left w:w="15" w:type="dxa"/>
              <w:bottom w:w="0" w:type="dxa"/>
              <w:right w:w="15" w:type="dxa"/>
            </w:tcMar>
            <w:vAlign w:val="center"/>
          </w:tcPr>
          <w:p w14:paraId="1409DDF3">
            <w:pPr>
              <w:jc w:val="center"/>
              <w:rPr>
                <w:b/>
                <w:bCs/>
                <w:color w:val="FFFFFF"/>
              </w:rPr>
            </w:pPr>
            <w:r>
              <w:rPr>
                <w:rFonts w:hint="eastAsia"/>
                <w:b/>
                <w:bCs/>
                <w:color w:val="FFFFFF"/>
              </w:rPr>
              <w:t>来源</w:t>
            </w:r>
          </w:p>
        </w:tc>
      </w:tr>
      <w:tr w14:paraId="7C88CF74">
        <w:tblPrEx>
          <w:tblCellMar>
            <w:top w:w="0" w:type="dxa"/>
            <w:left w:w="0" w:type="dxa"/>
            <w:bottom w:w="0" w:type="dxa"/>
            <w:right w:w="0" w:type="dxa"/>
          </w:tblCellMar>
        </w:tblPrEx>
        <w:trPr>
          <w:trHeight w:val="560" w:hRule="atLeast"/>
        </w:trPr>
        <w:tc>
          <w:tcPr>
            <w:tcW w:w="1012" w:type="dxa"/>
            <w:tcBorders>
              <w:top w:val="single" w:color="FFFFFF" w:sz="1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0109DD9A">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1</w:t>
            </w:r>
          </w:p>
        </w:tc>
        <w:tc>
          <w:tcPr>
            <w:tcW w:w="7718" w:type="dxa"/>
            <w:tcBorders>
              <w:top w:val="single" w:color="FFFFFF" w:sz="1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6D995C6C">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关于调整检验机构认可申请及评审资料提交方式的通知</w:t>
            </w:r>
          </w:p>
        </w:tc>
        <w:tc>
          <w:tcPr>
            <w:tcW w:w="1988" w:type="dxa"/>
            <w:tcBorders>
              <w:top w:val="single" w:color="FFFFFF" w:sz="1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3FC1F498">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2025.03.01</w:t>
            </w:r>
          </w:p>
        </w:tc>
        <w:tc>
          <w:tcPr>
            <w:tcW w:w="1950" w:type="dxa"/>
            <w:tcBorders>
              <w:top w:val="single" w:color="FFFFFF" w:sz="1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532B246F">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2025.03.01</w:t>
            </w:r>
          </w:p>
        </w:tc>
        <w:tc>
          <w:tcPr>
            <w:tcW w:w="11644" w:type="dxa"/>
            <w:tcBorders>
              <w:top w:val="single" w:color="FFFFFF" w:sz="1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1381BEB9">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"https://www.cnas.org.cn/zxzx/zxtz/art/2025/art_c92e4f9ed2764fadb8a6745081b0aa8e.html"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https://www.cnas.org.cn/zxzx/zxtz/art/2025/art_c92e4f9ed2764fadb8a6745081b0aa8e.html</w:t>
            </w:r>
            <w:r>
              <w:rPr>
                <w:rFonts w:hint="eastAsia" w:ascii="宋体" w:hAnsi="宋体" w:eastAsia="宋体" w:cs="宋体"/>
                <w:i w:val="0"/>
                <w:iCs w:val="0"/>
                <w:kern w:val="0"/>
                <w:sz w:val="22"/>
                <w:szCs w:val="22"/>
                <w:u w:val="single"/>
                <w:lang w:val="en-US" w:eastAsia="zh-CN" w:bidi="ar"/>
              </w:rPr>
              <w:fldChar w:fldCharType="end"/>
            </w:r>
          </w:p>
        </w:tc>
      </w:tr>
      <w:tr w14:paraId="53074D4F">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61595A5A">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2</w:t>
            </w:r>
          </w:p>
        </w:tc>
        <w:tc>
          <w:tcPr>
            <w:tcW w:w="771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69890D52">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国家突发事件总体应急预案一图读懂</w:t>
            </w:r>
          </w:p>
        </w:tc>
        <w:tc>
          <w:tcPr>
            <w:tcW w:w="198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64295E2A">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2025.03.03</w:t>
            </w:r>
          </w:p>
        </w:tc>
        <w:tc>
          <w:tcPr>
            <w:tcW w:w="1950"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362790E8">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2025.03.03</w:t>
            </w:r>
          </w:p>
        </w:tc>
        <w:tc>
          <w:tcPr>
            <w:tcW w:w="11644"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36457E8D">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"http://www.mem.gov.cn/gk/zcjd/202503/t20250303_521425.shtml"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http://www.mem.gov.cn/gk/zcjd/202503/t20250303_521425.shtml</w:t>
            </w:r>
            <w:r>
              <w:rPr>
                <w:rFonts w:hint="eastAsia" w:ascii="宋体" w:hAnsi="宋体" w:eastAsia="宋体" w:cs="宋体"/>
                <w:i w:val="0"/>
                <w:iCs w:val="0"/>
                <w:kern w:val="0"/>
                <w:sz w:val="22"/>
                <w:szCs w:val="22"/>
                <w:u w:val="single"/>
                <w:lang w:val="en-US" w:eastAsia="zh-CN" w:bidi="ar"/>
              </w:rPr>
              <w:fldChar w:fldCharType="end"/>
            </w:r>
          </w:p>
        </w:tc>
      </w:tr>
      <w:tr w14:paraId="780710E1">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0003D1CB">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3</w:t>
            </w:r>
          </w:p>
        </w:tc>
        <w:tc>
          <w:tcPr>
            <w:tcW w:w="7718"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6DABC6B2">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市工业和信息化局关于2025年企业技术改造项目扶持计划（绿色制造试点示范奖励项目）拟资助项目公示的通知</w:t>
            </w:r>
          </w:p>
        </w:tc>
        <w:tc>
          <w:tcPr>
            <w:tcW w:w="1988"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13502BCA">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2025.03.03</w:t>
            </w:r>
          </w:p>
        </w:tc>
        <w:tc>
          <w:tcPr>
            <w:tcW w:w="1950"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30295C7C">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2025.03.03</w:t>
            </w:r>
          </w:p>
        </w:tc>
        <w:tc>
          <w:tcPr>
            <w:tcW w:w="11644"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13E7E1E9">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"https://gxj.sz.gov.cn/xxgk/xxgkml/qt/tzgg/content/post_12052853.html"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https://gxj.sz.gov.cn/xxgk/xxgkml/qt/tzgg/content/post_12052853.html</w:t>
            </w:r>
            <w:r>
              <w:rPr>
                <w:rFonts w:hint="eastAsia" w:ascii="宋体" w:hAnsi="宋体" w:eastAsia="宋体" w:cs="宋体"/>
                <w:i w:val="0"/>
                <w:iCs w:val="0"/>
                <w:kern w:val="0"/>
                <w:sz w:val="22"/>
                <w:szCs w:val="22"/>
                <w:u w:val="single"/>
                <w:lang w:val="en-US" w:eastAsia="zh-CN" w:bidi="ar"/>
              </w:rPr>
              <w:fldChar w:fldCharType="end"/>
            </w:r>
          </w:p>
        </w:tc>
      </w:tr>
      <w:tr w14:paraId="6DBE4BCD">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01814FA5">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4</w:t>
            </w:r>
          </w:p>
        </w:tc>
        <w:tc>
          <w:tcPr>
            <w:tcW w:w="771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36F1C923">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市场监管总局 国家消防救援局关于对消防安全标志不再实施强制性产品认证管理的公告</w:t>
            </w:r>
          </w:p>
        </w:tc>
        <w:tc>
          <w:tcPr>
            <w:tcW w:w="1988"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5E625F04">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2025.03.03</w:t>
            </w:r>
          </w:p>
        </w:tc>
        <w:tc>
          <w:tcPr>
            <w:tcW w:w="1950"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6679C375">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2025.03.03</w:t>
            </w:r>
          </w:p>
        </w:tc>
        <w:tc>
          <w:tcPr>
            <w:tcW w:w="11644"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44CFF03C">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"https://www.samr.gov.cn/zw/zfxxgk/fdzdgknr/rzjgs/art/2025/art_3eae4494d5da40d18d249c8eaee4feda.html"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https://www.samr.gov.cn/zw/zfxxgk/fdzdgknr/rzjgs/art/2025/art_3eae4494d5da40d18d249c8eaee4feda.html</w:t>
            </w:r>
            <w:r>
              <w:rPr>
                <w:rFonts w:hint="eastAsia" w:ascii="宋体" w:hAnsi="宋体" w:eastAsia="宋体" w:cs="宋体"/>
                <w:i w:val="0"/>
                <w:iCs w:val="0"/>
                <w:kern w:val="0"/>
                <w:sz w:val="22"/>
                <w:szCs w:val="22"/>
                <w:u w:val="single"/>
                <w:lang w:val="en-US" w:eastAsia="zh-CN" w:bidi="ar"/>
              </w:rPr>
              <w:fldChar w:fldCharType="end"/>
            </w:r>
          </w:p>
        </w:tc>
      </w:tr>
      <w:tr w14:paraId="7D0AE9C1">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7DF336F5">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5</w:t>
            </w:r>
          </w:p>
        </w:tc>
        <w:tc>
          <w:tcPr>
            <w:tcW w:w="7718"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096EF48C">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上海市经济信息化委关于开展2025年度上海市工业通信业节能减排和合同能源管理专项资金项目申报工作的通知</w:t>
            </w:r>
          </w:p>
        </w:tc>
        <w:tc>
          <w:tcPr>
            <w:tcW w:w="1988"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09511DC2">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2025.03.05</w:t>
            </w:r>
          </w:p>
        </w:tc>
        <w:tc>
          <w:tcPr>
            <w:tcW w:w="1950"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5A7EEB07">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2025.03.05</w:t>
            </w:r>
          </w:p>
        </w:tc>
        <w:tc>
          <w:tcPr>
            <w:tcW w:w="11644"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6A820F68">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"https://sheitc.sh.gov.cn/cyfz/20250305/168c72d3b7c64c10b0422fd057529265.html"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https://sheitc.sh.gov.cn/cyfz/20250305/168c72d3b7c64c10b0422fd057529265.html</w:t>
            </w:r>
            <w:r>
              <w:rPr>
                <w:rFonts w:hint="eastAsia" w:ascii="宋体" w:hAnsi="宋体" w:eastAsia="宋体" w:cs="宋体"/>
                <w:i w:val="0"/>
                <w:iCs w:val="0"/>
                <w:kern w:val="0"/>
                <w:sz w:val="22"/>
                <w:szCs w:val="22"/>
                <w:u w:val="single"/>
                <w:lang w:val="en-US" w:eastAsia="zh-CN" w:bidi="ar"/>
              </w:rPr>
              <w:fldChar w:fldCharType="end"/>
            </w:r>
          </w:p>
        </w:tc>
      </w:tr>
      <w:tr w14:paraId="66EF2919">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59742F90">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6</w:t>
            </w:r>
          </w:p>
        </w:tc>
        <w:tc>
          <w:tcPr>
            <w:tcW w:w="7718"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43BB17D8">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工业和信息化部办公厅关于印发《工业企业和园区数字化能碳管理中心建设指南》的通知</w:t>
            </w:r>
          </w:p>
        </w:tc>
        <w:tc>
          <w:tcPr>
            <w:tcW w:w="198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0EA5C14E">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2025.03.07</w:t>
            </w:r>
          </w:p>
        </w:tc>
        <w:tc>
          <w:tcPr>
            <w:tcW w:w="1950"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140E5FB2">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2025.03.07</w:t>
            </w:r>
          </w:p>
        </w:tc>
        <w:tc>
          <w:tcPr>
            <w:tcW w:w="11644"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7D30F512">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"https://www.hunan.gov.cn/zqt/zcsd/202503/t20250318_33615744.html"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https://www.hunan.gov.cn/zqt/zcsd/202503/t20250318_33615744.html</w:t>
            </w:r>
            <w:r>
              <w:rPr>
                <w:rFonts w:hint="eastAsia" w:ascii="宋体" w:hAnsi="宋体" w:eastAsia="宋体" w:cs="宋体"/>
                <w:i w:val="0"/>
                <w:iCs w:val="0"/>
                <w:kern w:val="0"/>
                <w:sz w:val="22"/>
                <w:szCs w:val="22"/>
                <w:u w:val="single"/>
                <w:lang w:val="en-US" w:eastAsia="zh-CN" w:bidi="ar"/>
              </w:rPr>
              <w:fldChar w:fldCharType="end"/>
            </w:r>
          </w:p>
        </w:tc>
      </w:tr>
      <w:tr w14:paraId="19ECCAA2">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7E9B5FC0">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7</w:t>
            </w:r>
          </w:p>
        </w:tc>
        <w:tc>
          <w:tcPr>
            <w:tcW w:w="7718"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5860ED7F">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市场监管总局办公厅关于开展全国标准实施监测点申报工作的通知</w:t>
            </w:r>
          </w:p>
        </w:tc>
        <w:tc>
          <w:tcPr>
            <w:tcW w:w="1988"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04DD5878">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2025.03.17</w:t>
            </w:r>
          </w:p>
        </w:tc>
        <w:tc>
          <w:tcPr>
            <w:tcW w:w="1950"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4891E516">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2025.03.17</w:t>
            </w:r>
          </w:p>
        </w:tc>
        <w:tc>
          <w:tcPr>
            <w:tcW w:w="11644"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2342399D">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"https://www.samr.gov.cn/bzcxs/zcwj/art/2025/art_90ce12627e1e42729e7fffc387bb5676.html"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https://www.samr.gov.cn/bzcxs/zcwj/art/2025/art_90ce12627e1e42729e7fffc387bb5676.html</w:t>
            </w:r>
            <w:r>
              <w:rPr>
                <w:rFonts w:hint="eastAsia" w:ascii="宋体" w:hAnsi="宋体" w:eastAsia="宋体" w:cs="宋体"/>
                <w:i w:val="0"/>
                <w:iCs w:val="0"/>
                <w:kern w:val="0"/>
                <w:sz w:val="22"/>
                <w:szCs w:val="22"/>
                <w:u w:val="single"/>
                <w:lang w:val="en-US" w:eastAsia="zh-CN" w:bidi="ar"/>
              </w:rPr>
              <w:fldChar w:fldCharType="end"/>
            </w:r>
          </w:p>
        </w:tc>
      </w:tr>
      <w:tr w14:paraId="52E20878">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66939AC7">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8</w:t>
            </w:r>
          </w:p>
        </w:tc>
        <w:tc>
          <w:tcPr>
            <w:tcW w:w="771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453FA32C">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市工业和信息化局关于下达2025年企业技术改造项目扶持计划（绿色制造试点示范奖励项目）资助计划的通知</w:t>
            </w:r>
          </w:p>
        </w:tc>
        <w:tc>
          <w:tcPr>
            <w:tcW w:w="198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366BD148">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2025.03.17</w:t>
            </w:r>
          </w:p>
        </w:tc>
        <w:tc>
          <w:tcPr>
            <w:tcW w:w="1950"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27426AA8">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2025.03.17</w:t>
            </w:r>
          </w:p>
        </w:tc>
        <w:tc>
          <w:tcPr>
            <w:tcW w:w="11644"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7D1D1B05">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"https://gxj.sz.gov.cn/xxgk/xxgkml/zjxx/czzxzj/content/post_12074226.html"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https://gxj.sz.gov.cn/xxgk/xxgkml/zjxx/czzxzj/content/post_12074226.html</w:t>
            </w:r>
            <w:r>
              <w:rPr>
                <w:rFonts w:hint="eastAsia" w:ascii="宋体" w:hAnsi="宋体" w:eastAsia="宋体" w:cs="宋体"/>
                <w:i w:val="0"/>
                <w:iCs w:val="0"/>
                <w:kern w:val="0"/>
                <w:sz w:val="22"/>
                <w:szCs w:val="22"/>
                <w:u w:val="single"/>
                <w:lang w:val="en-US" w:eastAsia="zh-CN" w:bidi="ar"/>
              </w:rPr>
              <w:fldChar w:fldCharType="end"/>
            </w:r>
          </w:p>
        </w:tc>
      </w:tr>
      <w:tr w14:paraId="7494DBDD">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5A2697DE">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9</w:t>
            </w:r>
          </w:p>
        </w:tc>
        <w:tc>
          <w:tcPr>
            <w:tcW w:w="7718"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4C975C12">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市场监管总局出台国家级资质认定检验检测机构信用风险分类管理规范（附一图读懂）</w:t>
            </w:r>
          </w:p>
        </w:tc>
        <w:tc>
          <w:tcPr>
            <w:tcW w:w="1988"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1B83A2A6">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2025.03.18</w:t>
            </w:r>
          </w:p>
        </w:tc>
        <w:tc>
          <w:tcPr>
            <w:tcW w:w="1950" w:type="dxa"/>
            <w:tcBorders>
              <w:top w:val="single" w:color="4F81BD" w:sz="8" w:space="0"/>
              <w:left w:val="single" w:color="4F81BD" w:sz="8" w:space="0"/>
              <w:bottom w:val="single" w:color="4F81BD" w:sz="8" w:space="0"/>
              <w:right w:val="single" w:color="4F81BD" w:sz="8" w:space="0"/>
            </w:tcBorders>
            <w:shd w:val="clear" w:color="auto" w:fill="B8CCE4"/>
            <w:tcMar>
              <w:top w:w="15" w:type="dxa"/>
              <w:left w:w="15" w:type="dxa"/>
              <w:bottom w:w="0" w:type="dxa"/>
              <w:right w:w="15" w:type="dxa"/>
            </w:tcMar>
            <w:vAlign w:val="center"/>
          </w:tcPr>
          <w:p w14:paraId="1998BC97">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2025.03.18</w:t>
            </w:r>
          </w:p>
        </w:tc>
        <w:tc>
          <w:tcPr>
            <w:tcW w:w="11644" w:type="dxa"/>
            <w:tcBorders>
              <w:top w:val="single" w:color="4F81BD" w:sz="8" w:space="0"/>
              <w:left w:val="single" w:color="4F81BD" w:sz="8" w:space="0"/>
              <w:bottom w:val="single" w:color="4F81BD" w:sz="8" w:space="0"/>
              <w:right w:val="single" w:color="4F81BD" w:sz="8" w:space="0"/>
            </w:tcBorders>
            <w:shd w:val="clear" w:color="auto" w:fill="B8CCE4"/>
            <w:noWrap/>
            <w:tcMar>
              <w:top w:w="15" w:type="dxa"/>
              <w:left w:w="15" w:type="dxa"/>
              <w:bottom w:w="0" w:type="dxa"/>
              <w:right w:w="15" w:type="dxa"/>
            </w:tcMar>
            <w:vAlign w:val="center"/>
          </w:tcPr>
          <w:p w14:paraId="103E5781">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"http://scjgj.quanzhou.gov.cn/xxgk/flfg/202503/t20250318_3149872.htm"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http://scjgj.quanzhou.gov.cn/xxgk/flfg/202503/t20250318_3149872.htm</w:t>
            </w:r>
            <w:r>
              <w:rPr>
                <w:rFonts w:hint="eastAsia" w:ascii="宋体" w:hAnsi="宋体" w:eastAsia="宋体" w:cs="宋体"/>
                <w:i w:val="0"/>
                <w:iCs w:val="0"/>
                <w:kern w:val="0"/>
                <w:sz w:val="22"/>
                <w:szCs w:val="22"/>
                <w:u w:val="single"/>
                <w:lang w:val="en-US" w:eastAsia="zh-CN" w:bidi="ar"/>
              </w:rPr>
              <w:fldChar w:fldCharType="end"/>
            </w:r>
          </w:p>
        </w:tc>
      </w:tr>
      <w:tr w14:paraId="08C51A33">
        <w:tblPrEx>
          <w:tblCellMar>
            <w:top w:w="0" w:type="dxa"/>
            <w:left w:w="0" w:type="dxa"/>
            <w:bottom w:w="0" w:type="dxa"/>
            <w:right w:w="0" w:type="dxa"/>
          </w:tblCellMar>
        </w:tblPrEx>
        <w:trPr>
          <w:trHeight w:val="560" w:hRule="atLeast"/>
        </w:trPr>
        <w:tc>
          <w:tcPr>
            <w:tcW w:w="1012"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10C4B2B1">
            <w:pPr>
              <w:keepNext w:val="0"/>
              <w:keepLines w:val="0"/>
              <w:widowControl/>
              <w:suppressLineNumbers w:val="0"/>
              <w:jc w:val="center"/>
              <w:textAlignment w:val="center"/>
              <w:rPr>
                <w:color w:val="000000"/>
              </w:rPr>
            </w:pPr>
            <w:r>
              <w:rPr>
                <w:rFonts w:hint="eastAsia" w:ascii="宋体" w:hAnsi="宋体" w:eastAsia="宋体" w:cs="宋体"/>
                <w:i w:val="0"/>
                <w:iCs w:val="0"/>
                <w:color w:val="000000"/>
                <w:kern w:val="0"/>
                <w:sz w:val="24"/>
                <w:szCs w:val="24"/>
                <w:u w:val="none"/>
                <w:lang w:val="en-US" w:eastAsia="zh-CN" w:bidi="ar"/>
              </w:rPr>
              <w:t>10</w:t>
            </w:r>
          </w:p>
        </w:tc>
        <w:tc>
          <w:tcPr>
            <w:tcW w:w="771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4D35972B">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深圳发布常见安全风险目录</w:t>
            </w:r>
          </w:p>
        </w:tc>
        <w:tc>
          <w:tcPr>
            <w:tcW w:w="1988"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3CE58291">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2025.03.18</w:t>
            </w:r>
          </w:p>
        </w:tc>
        <w:tc>
          <w:tcPr>
            <w:tcW w:w="1950" w:type="dxa"/>
            <w:tcBorders>
              <w:top w:val="single" w:color="4F81BD" w:sz="8" w:space="0"/>
              <w:left w:val="single" w:color="4F81BD" w:sz="8" w:space="0"/>
              <w:bottom w:val="single" w:color="4F81BD" w:sz="8" w:space="0"/>
              <w:right w:val="single" w:color="4F81BD" w:sz="8" w:space="0"/>
            </w:tcBorders>
            <w:shd w:val="clear" w:color="auto" w:fill="FFFFFF"/>
            <w:tcMar>
              <w:top w:w="15" w:type="dxa"/>
              <w:left w:w="15" w:type="dxa"/>
              <w:bottom w:w="0" w:type="dxa"/>
              <w:right w:w="15" w:type="dxa"/>
            </w:tcMar>
            <w:vAlign w:val="center"/>
          </w:tcPr>
          <w:p w14:paraId="3494567F">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2025.03.18</w:t>
            </w:r>
          </w:p>
        </w:tc>
        <w:tc>
          <w:tcPr>
            <w:tcW w:w="11644" w:type="dxa"/>
            <w:tcBorders>
              <w:top w:val="single" w:color="4F81BD" w:sz="8" w:space="0"/>
              <w:left w:val="single" w:color="4F81BD" w:sz="8" w:space="0"/>
              <w:bottom w:val="single" w:color="4F81BD" w:sz="8" w:space="0"/>
              <w:right w:val="single" w:color="4F81BD" w:sz="8" w:space="0"/>
            </w:tcBorders>
            <w:shd w:val="clear" w:color="auto" w:fill="FFFFFF"/>
            <w:noWrap/>
            <w:tcMar>
              <w:top w:w="15" w:type="dxa"/>
              <w:left w:w="15" w:type="dxa"/>
              <w:bottom w:w="0" w:type="dxa"/>
              <w:right w:w="15" w:type="dxa"/>
            </w:tcMar>
            <w:vAlign w:val="center"/>
          </w:tcPr>
          <w:p w14:paraId="668B5E3B">
            <w:pPr>
              <w:keepNext w:val="0"/>
              <w:keepLines w:val="0"/>
              <w:widowControl/>
              <w:suppressLineNumbers w:val="0"/>
              <w:jc w:val="center"/>
              <w:textAlignment w:val="center"/>
              <w:rPr>
                <w:color w:val="00000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"https://yjgl.sz.gov.cn/yjgl/zhjg/yjhyfxx/content/post_12077721.html" </w:instrText>
            </w:r>
            <w:r>
              <w:rPr>
                <w:rFonts w:hint="eastAsia" w:ascii="宋体" w:hAnsi="宋体" w:eastAsia="宋体" w:cs="宋体"/>
                <w:i w:val="0"/>
                <w:iCs w:val="0"/>
                <w:kern w:val="0"/>
                <w:sz w:val="22"/>
                <w:szCs w:val="22"/>
                <w:u w:val="single"/>
                <w:lang w:val="en-US" w:eastAsia="zh-CN" w:bidi="ar"/>
              </w:rPr>
              <w:fldChar w:fldCharType="separate"/>
            </w:r>
            <w:r>
              <w:rPr>
                <w:rStyle w:val="10"/>
                <w:rFonts w:hint="eastAsia" w:ascii="宋体" w:hAnsi="宋体" w:eastAsia="宋体" w:cs="宋体"/>
                <w:i w:val="0"/>
                <w:iCs w:val="0"/>
                <w:sz w:val="22"/>
                <w:szCs w:val="22"/>
                <w:u w:val="single"/>
              </w:rPr>
              <w:t>https://yjgl.sz.gov.cn/yjgl/zhjg/yjhyfxx/content/post_12077721.html</w:t>
            </w:r>
            <w:r>
              <w:rPr>
                <w:rFonts w:hint="eastAsia" w:ascii="宋体" w:hAnsi="宋体" w:eastAsia="宋体" w:cs="宋体"/>
                <w:i w:val="0"/>
                <w:iCs w:val="0"/>
                <w:kern w:val="0"/>
                <w:sz w:val="22"/>
                <w:szCs w:val="22"/>
                <w:u w:val="single"/>
                <w:lang w:val="en-US" w:eastAsia="zh-CN" w:bidi="ar"/>
              </w:rPr>
              <w:fldChar w:fldCharType="end"/>
            </w:r>
          </w:p>
        </w:tc>
      </w:tr>
      <w:tr w14:paraId="7A488ADF">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1D2F3CBD">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11E7EB2D">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29A67271">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47836AC0">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6B414E1D">
            <w:pPr>
              <w:rPr>
                <w:vanish/>
                <w:color w:val="000000"/>
                <w:sz w:val="22"/>
                <w:szCs w:val="22"/>
              </w:rPr>
            </w:pPr>
          </w:p>
        </w:tc>
      </w:tr>
      <w:tr w14:paraId="5C280877">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268AD7CC">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5EF75C01">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53962396">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14F9D690">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21741F79">
            <w:pPr>
              <w:rPr>
                <w:vanish/>
                <w:color w:val="000000"/>
                <w:sz w:val="22"/>
                <w:szCs w:val="22"/>
              </w:rPr>
            </w:pPr>
          </w:p>
        </w:tc>
      </w:tr>
      <w:tr w14:paraId="771AFEF5">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50348C94">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13165CED">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77A7E299">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1F6D3523">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0D6B9A22">
            <w:pPr>
              <w:rPr>
                <w:vanish/>
                <w:color w:val="000000"/>
                <w:sz w:val="22"/>
                <w:szCs w:val="22"/>
              </w:rPr>
            </w:pPr>
          </w:p>
        </w:tc>
      </w:tr>
      <w:tr w14:paraId="442A3D03">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0306C34A">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6CC77F5E">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7CBA4AFD">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7BB81A6B">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58011AC3">
            <w:pPr>
              <w:rPr>
                <w:vanish/>
                <w:color w:val="000000"/>
                <w:sz w:val="22"/>
                <w:szCs w:val="22"/>
              </w:rPr>
            </w:pPr>
          </w:p>
        </w:tc>
      </w:tr>
      <w:tr w14:paraId="1CFC61EF">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535D6539">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452B615D">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218BCA30">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5337D8A2">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73B99AB2">
            <w:pPr>
              <w:rPr>
                <w:vanish/>
                <w:color w:val="000000"/>
                <w:sz w:val="22"/>
                <w:szCs w:val="22"/>
              </w:rPr>
            </w:pPr>
          </w:p>
        </w:tc>
      </w:tr>
      <w:tr w14:paraId="10CADA16">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64980E51">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211A7AC2">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582A1BCB">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365087A6">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6FD34C5E">
            <w:pPr>
              <w:rPr>
                <w:vanish/>
                <w:color w:val="000000"/>
                <w:sz w:val="22"/>
                <w:szCs w:val="22"/>
              </w:rPr>
            </w:pPr>
          </w:p>
        </w:tc>
      </w:tr>
      <w:tr w14:paraId="16B8BE16">
        <w:tblPrEx>
          <w:tblCellMar>
            <w:top w:w="0" w:type="dxa"/>
            <w:left w:w="0" w:type="dxa"/>
            <w:bottom w:w="0" w:type="dxa"/>
            <w:right w:w="0" w:type="dxa"/>
          </w:tblCellMar>
        </w:tblPrEx>
        <w:trPr>
          <w:hidden/>
        </w:trPr>
        <w:tc>
          <w:tcPr>
            <w:tcW w:w="1012" w:type="dxa"/>
            <w:tcBorders>
              <w:top w:val="nil"/>
              <w:left w:val="nil"/>
              <w:bottom w:val="nil"/>
              <w:right w:val="nil"/>
            </w:tcBorders>
            <w:shd w:val="clear" w:color="auto" w:fill="auto"/>
            <w:noWrap/>
            <w:tcMar>
              <w:top w:w="15" w:type="dxa"/>
              <w:left w:w="15" w:type="dxa"/>
              <w:bottom w:w="0" w:type="dxa"/>
              <w:right w:w="15" w:type="dxa"/>
            </w:tcMar>
            <w:vAlign w:val="center"/>
          </w:tcPr>
          <w:p w14:paraId="245F6C4D">
            <w:pPr>
              <w:rPr>
                <w:vanish/>
                <w:color w:val="000000"/>
                <w:sz w:val="22"/>
                <w:szCs w:val="22"/>
              </w:rPr>
            </w:pPr>
          </w:p>
        </w:tc>
        <w:tc>
          <w:tcPr>
            <w:tcW w:w="7718" w:type="dxa"/>
            <w:tcBorders>
              <w:top w:val="nil"/>
              <w:left w:val="nil"/>
              <w:bottom w:val="nil"/>
              <w:right w:val="nil"/>
            </w:tcBorders>
            <w:shd w:val="clear" w:color="auto" w:fill="auto"/>
            <w:noWrap/>
            <w:tcMar>
              <w:top w:w="15" w:type="dxa"/>
              <w:left w:w="15" w:type="dxa"/>
              <w:bottom w:w="0" w:type="dxa"/>
              <w:right w:w="15" w:type="dxa"/>
            </w:tcMar>
            <w:vAlign w:val="center"/>
          </w:tcPr>
          <w:p w14:paraId="27ABDD09">
            <w:pPr>
              <w:rPr>
                <w:vanish/>
                <w:color w:val="000000"/>
                <w:sz w:val="22"/>
                <w:szCs w:val="22"/>
              </w:rPr>
            </w:pPr>
          </w:p>
        </w:tc>
        <w:tc>
          <w:tcPr>
            <w:tcW w:w="1988" w:type="dxa"/>
            <w:tcBorders>
              <w:top w:val="nil"/>
              <w:left w:val="nil"/>
              <w:bottom w:val="nil"/>
              <w:right w:val="nil"/>
            </w:tcBorders>
            <w:shd w:val="clear" w:color="auto" w:fill="auto"/>
            <w:noWrap/>
            <w:tcMar>
              <w:top w:w="15" w:type="dxa"/>
              <w:left w:w="15" w:type="dxa"/>
              <w:bottom w:w="0" w:type="dxa"/>
              <w:right w:w="15" w:type="dxa"/>
            </w:tcMar>
            <w:vAlign w:val="center"/>
          </w:tcPr>
          <w:p w14:paraId="03AB3DE3">
            <w:pPr>
              <w:rPr>
                <w:vanish/>
                <w:color w:val="000000"/>
                <w:sz w:val="22"/>
                <w:szCs w:val="22"/>
              </w:rPr>
            </w:pPr>
          </w:p>
        </w:tc>
        <w:tc>
          <w:tcPr>
            <w:tcW w:w="1950" w:type="dxa"/>
            <w:tcBorders>
              <w:top w:val="nil"/>
              <w:left w:val="nil"/>
              <w:bottom w:val="nil"/>
              <w:right w:val="nil"/>
            </w:tcBorders>
            <w:shd w:val="clear" w:color="auto" w:fill="auto"/>
            <w:noWrap/>
            <w:tcMar>
              <w:top w:w="15" w:type="dxa"/>
              <w:left w:w="15" w:type="dxa"/>
              <w:bottom w:w="0" w:type="dxa"/>
              <w:right w:w="15" w:type="dxa"/>
            </w:tcMar>
            <w:vAlign w:val="center"/>
          </w:tcPr>
          <w:p w14:paraId="08FFA65F">
            <w:pPr>
              <w:rPr>
                <w:vanish/>
                <w:color w:val="000000"/>
                <w:sz w:val="22"/>
                <w:szCs w:val="22"/>
              </w:rPr>
            </w:pPr>
          </w:p>
        </w:tc>
        <w:tc>
          <w:tcPr>
            <w:tcW w:w="11644" w:type="dxa"/>
            <w:tcBorders>
              <w:top w:val="nil"/>
              <w:left w:val="nil"/>
              <w:bottom w:val="nil"/>
              <w:right w:val="nil"/>
            </w:tcBorders>
            <w:shd w:val="clear" w:color="auto" w:fill="auto"/>
            <w:noWrap/>
            <w:tcMar>
              <w:top w:w="15" w:type="dxa"/>
              <w:left w:w="15" w:type="dxa"/>
              <w:bottom w:w="0" w:type="dxa"/>
              <w:right w:w="15" w:type="dxa"/>
            </w:tcMar>
            <w:vAlign w:val="center"/>
          </w:tcPr>
          <w:p w14:paraId="4B5CA9FA">
            <w:pPr>
              <w:rPr>
                <w:vanish/>
                <w:color w:val="000000"/>
                <w:sz w:val="22"/>
                <w:szCs w:val="22"/>
              </w:rPr>
            </w:pPr>
          </w:p>
        </w:tc>
      </w:tr>
    </w:tbl>
    <w:p w14:paraId="4DBC9C15">
      <w:bookmarkStart w:id="0" w:name="_GoBack"/>
      <w:bookmarkEnd w:id="0"/>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SnapToGridInCell/>
    <w:doNotWrapTextWithPunct/>
    <w:doNotUseEastAsianBreakRules/>
    <w:growAutofit/>
    <w:useFELayout/>
    <w:doNotUseIndentAsNumberingTabStop/>
    <w:compatSetting w:name="compatibilityMode" w:uri="http://schemas.microsoft.com/office/word" w:val="14"/>
  </w:compat>
  <w:docVars>
    <w:docVar w:name="commondata" w:val="eyJoZGlkIjoiMjJhNzdkZDY5ZjM1MDg1NmMwM2RiM2MzM2NjODI5OTgifQ=="/>
  </w:docVars>
  <w:rsids>
    <w:rsidRoot w:val="00FD4FA5"/>
    <w:rsid w:val="00CC5726"/>
    <w:rsid w:val="00FD4FA5"/>
    <w:rsid w:val="0736535D"/>
    <w:rsid w:val="1BA24E2E"/>
    <w:rsid w:val="30F54E49"/>
    <w:rsid w:val="351F54DB"/>
    <w:rsid w:val="398B4AB1"/>
    <w:rsid w:val="3DFC3EAB"/>
    <w:rsid w:val="4C823996"/>
    <w:rsid w:val="4D825A22"/>
    <w:rsid w:val="53541697"/>
    <w:rsid w:val="5E4E4B34"/>
    <w:rsid w:val="716E2D67"/>
    <w:rsid w:val="7D962E23"/>
    <w:rsid w:val="7F3A7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